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75F0A" w14:textId="24FF129A" w:rsidR="008F2726" w:rsidRDefault="008F2726" w:rsidP="008F2726">
      <w:pPr>
        <w:spacing w:line="360" w:lineRule="auto"/>
        <w:ind w:firstLineChars="200" w:firstLine="640"/>
        <w:jc w:val="center"/>
        <w:rPr>
          <w:rFonts w:ascii="黑体" w:eastAsia="黑体" w:hAnsi="黑体"/>
          <w:sz w:val="32"/>
          <w:szCs w:val="32"/>
        </w:rPr>
      </w:pPr>
      <w:bookmarkStart w:id="0" w:name="_GoBack"/>
      <w:r>
        <w:rPr>
          <w:rFonts w:ascii="黑体" w:eastAsia="黑体" w:hAnsi="黑体" w:hint="eastAsia"/>
          <w:sz w:val="32"/>
          <w:szCs w:val="32"/>
        </w:rPr>
        <w:t>示例稿——</w:t>
      </w:r>
      <w:r w:rsidRPr="000479E9">
        <w:rPr>
          <w:rFonts w:ascii="宋体" w:eastAsia="宋体" w:hAnsi="宋体"/>
          <w:b/>
          <w:sz w:val="28"/>
          <w:szCs w:val="28"/>
        </w:rPr>
        <w:t>70</w:t>
      </w:r>
      <w:r w:rsidRPr="000479E9">
        <w:rPr>
          <w:rFonts w:ascii="宋体" w:eastAsia="宋体" w:hAnsi="宋体" w:hint="eastAsia"/>
          <w:b/>
          <w:sz w:val="28"/>
          <w:szCs w:val="28"/>
        </w:rPr>
        <w:t>周年校庆卓越学术论坛暨</w:t>
      </w:r>
      <w:r w:rsidRPr="000479E9">
        <w:rPr>
          <w:rFonts w:ascii="宋体" w:eastAsia="宋体" w:hAnsi="宋体"/>
          <w:b/>
          <w:sz w:val="28"/>
          <w:szCs w:val="28"/>
        </w:rPr>
        <w:t>“</w:t>
      </w:r>
      <w:r w:rsidRPr="000479E9">
        <w:rPr>
          <w:rFonts w:ascii="宋体" w:eastAsia="宋体" w:hAnsi="宋体" w:hint="eastAsia"/>
          <w:b/>
          <w:sz w:val="28"/>
          <w:szCs w:val="28"/>
        </w:rPr>
        <w:t>睿思讲堂</w:t>
      </w:r>
      <w:r w:rsidRPr="000479E9">
        <w:rPr>
          <w:rFonts w:ascii="宋体" w:eastAsia="宋体" w:hAnsi="宋体"/>
          <w:b/>
          <w:sz w:val="28"/>
          <w:szCs w:val="28"/>
        </w:rPr>
        <w:t>”</w:t>
      </w:r>
      <w:r w:rsidRPr="000479E9">
        <w:rPr>
          <w:rFonts w:ascii="宋体" w:eastAsia="宋体" w:hAnsi="宋体" w:hint="eastAsia"/>
          <w:b/>
          <w:sz w:val="28"/>
          <w:szCs w:val="28"/>
        </w:rPr>
        <w:t>第二讲：聚焦</w:t>
      </w:r>
      <w:r w:rsidRPr="000479E9">
        <w:rPr>
          <w:rFonts w:ascii="宋体" w:eastAsia="宋体" w:hAnsi="宋体"/>
          <w:b/>
          <w:sz w:val="28"/>
          <w:szCs w:val="28"/>
        </w:rPr>
        <w:t>“</w:t>
      </w:r>
      <w:r w:rsidRPr="000479E9">
        <w:rPr>
          <w:rFonts w:ascii="宋体" w:eastAsia="宋体" w:hAnsi="宋体" w:hint="eastAsia"/>
          <w:b/>
          <w:sz w:val="28"/>
          <w:szCs w:val="28"/>
        </w:rPr>
        <w:t>习近平新时代中国特色社会主义思想的立场观点方法</w:t>
      </w:r>
      <w:r w:rsidRPr="000479E9">
        <w:rPr>
          <w:rFonts w:ascii="宋体" w:eastAsia="宋体" w:hAnsi="宋体"/>
          <w:b/>
          <w:sz w:val="28"/>
          <w:szCs w:val="28"/>
        </w:rPr>
        <w:t>”</w:t>
      </w:r>
    </w:p>
    <w:bookmarkEnd w:id="0"/>
    <w:p w14:paraId="10C5DBBA" w14:textId="77777777" w:rsidR="008F2726" w:rsidRPr="00893C95" w:rsidRDefault="008F2726" w:rsidP="008F2726">
      <w:pPr>
        <w:spacing w:line="360" w:lineRule="auto"/>
        <w:ind w:firstLineChars="200" w:firstLine="640"/>
        <w:jc w:val="center"/>
        <w:rPr>
          <w:rFonts w:ascii="黑体" w:eastAsia="黑体" w:hAnsi="黑体"/>
          <w:sz w:val="32"/>
          <w:szCs w:val="32"/>
        </w:rPr>
      </w:pPr>
      <w:r w:rsidRPr="00893C95">
        <w:rPr>
          <w:rFonts w:ascii="黑体" w:eastAsia="黑体" w:hAnsi="黑体"/>
          <w:sz w:val="32"/>
          <w:szCs w:val="32"/>
        </w:rPr>
        <w:t xml:space="preserve"> </w:t>
      </w:r>
    </w:p>
    <w:p w14:paraId="118B20ED" w14:textId="77777777" w:rsidR="008F2726" w:rsidRPr="008F2726" w:rsidRDefault="008F2726" w:rsidP="008F2726">
      <w:pPr>
        <w:spacing w:line="360" w:lineRule="auto"/>
        <w:ind w:firstLineChars="200" w:firstLine="480"/>
        <w:rPr>
          <w:rFonts w:ascii="KaiTi" w:eastAsia="KaiTi" w:hAnsi="KaiTi"/>
          <w:sz w:val="24"/>
          <w:szCs w:val="24"/>
        </w:rPr>
      </w:pPr>
      <w:r w:rsidRPr="008F2726">
        <w:rPr>
          <w:rFonts w:ascii="KaiTi" w:eastAsia="KaiTi" w:hAnsi="KaiTi"/>
          <w:sz w:val="24"/>
          <w:szCs w:val="24"/>
        </w:rPr>
        <w:t>9</w:t>
      </w:r>
      <w:r w:rsidRPr="008F2726">
        <w:rPr>
          <w:rFonts w:ascii="KaiTi" w:eastAsia="KaiTi" w:hAnsi="KaiTi" w:hint="eastAsia"/>
          <w:sz w:val="24"/>
          <w:szCs w:val="24"/>
        </w:rPr>
        <w:t>月</w:t>
      </w:r>
      <w:r w:rsidRPr="008F2726">
        <w:rPr>
          <w:rFonts w:ascii="KaiTi" w:eastAsia="KaiTi" w:hAnsi="KaiTi"/>
          <w:sz w:val="24"/>
          <w:szCs w:val="24"/>
        </w:rPr>
        <w:t>24</w:t>
      </w:r>
      <w:r w:rsidRPr="008F2726">
        <w:rPr>
          <w:rFonts w:ascii="KaiTi" w:eastAsia="KaiTi" w:hAnsi="KaiTi" w:hint="eastAsia"/>
          <w:sz w:val="24"/>
          <w:szCs w:val="24"/>
        </w:rPr>
        <w:t>日下午，70周年校庆卓越学术论坛暨</w:t>
      </w:r>
      <w:r w:rsidRPr="008F2726">
        <w:rPr>
          <w:rFonts w:ascii="KaiTi" w:eastAsia="KaiTi" w:hAnsi="KaiTi"/>
          <w:sz w:val="24"/>
          <w:szCs w:val="24"/>
        </w:rPr>
        <w:t>“</w:t>
      </w:r>
      <w:r w:rsidRPr="008F2726">
        <w:rPr>
          <w:rFonts w:ascii="KaiTi" w:eastAsia="KaiTi" w:hAnsi="KaiTi" w:hint="eastAsia"/>
          <w:sz w:val="24"/>
          <w:szCs w:val="24"/>
        </w:rPr>
        <w:t>睿思讲堂</w:t>
      </w:r>
      <w:r w:rsidRPr="008F2726">
        <w:rPr>
          <w:rFonts w:ascii="KaiTi" w:eastAsia="KaiTi" w:hAnsi="KaiTi"/>
          <w:sz w:val="24"/>
          <w:szCs w:val="24"/>
        </w:rPr>
        <w:t>”</w:t>
      </w:r>
      <w:r w:rsidRPr="008F2726">
        <w:rPr>
          <w:rFonts w:ascii="KaiTi" w:eastAsia="KaiTi" w:hAnsi="KaiTi" w:hint="eastAsia"/>
          <w:sz w:val="24"/>
          <w:szCs w:val="24"/>
        </w:rPr>
        <w:t>第二讲</w:t>
      </w:r>
      <w:r w:rsidRPr="008F2726">
        <w:rPr>
          <w:rFonts w:ascii="KaiTi" w:eastAsia="KaiTi" w:hAnsi="KaiTi"/>
          <w:sz w:val="24"/>
          <w:szCs w:val="24"/>
        </w:rPr>
        <w:t>“</w:t>
      </w:r>
      <w:r w:rsidRPr="008F2726">
        <w:rPr>
          <w:rFonts w:ascii="KaiTi" w:eastAsia="KaiTi" w:hAnsi="KaiTi" w:hint="eastAsia"/>
          <w:sz w:val="24"/>
          <w:szCs w:val="24"/>
        </w:rPr>
        <w:t>习近平新时代中国特色社会主义思想的立场观点方法</w:t>
      </w:r>
      <w:r w:rsidRPr="008F2726">
        <w:rPr>
          <w:rFonts w:ascii="KaiTi" w:eastAsia="KaiTi" w:hAnsi="KaiTi"/>
          <w:sz w:val="24"/>
          <w:szCs w:val="24"/>
        </w:rPr>
        <w:t>”</w:t>
      </w:r>
      <w:r w:rsidRPr="008F2726">
        <w:rPr>
          <w:rFonts w:ascii="KaiTi" w:eastAsia="KaiTi" w:hAnsi="KaiTi" w:hint="eastAsia"/>
          <w:sz w:val="24"/>
          <w:szCs w:val="24"/>
        </w:rPr>
        <w:t>主题讲座在华东师范大学闵行校区法商北楼1</w:t>
      </w:r>
      <w:r w:rsidRPr="008F2726">
        <w:rPr>
          <w:rFonts w:ascii="KaiTi" w:eastAsia="KaiTi" w:hAnsi="KaiTi"/>
          <w:sz w:val="24"/>
          <w:szCs w:val="24"/>
        </w:rPr>
        <w:t>23</w:t>
      </w:r>
      <w:r w:rsidRPr="008F2726">
        <w:rPr>
          <w:rFonts w:ascii="KaiTi" w:eastAsia="KaiTi" w:hAnsi="KaiTi" w:hint="eastAsia"/>
          <w:sz w:val="24"/>
          <w:szCs w:val="24"/>
        </w:rPr>
        <w:t>、1</w:t>
      </w:r>
      <w:r w:rsidRPr="008F2726">
        <w:rPr>
          <w:rFonts w:ascii="KaiTi" w:eastAsia="KaiTi" w:hAnsi="KaiTi"/>
          <w:sz w:val="24"/>
          <w:szCs w:val="24"/>
        </w:rPr>
        <w:t>25</w:t>
      </w:r>
      <w:r w:rsidRPr="008F2726">
        <w:rPr>
          <w:rFonts w:ascii="KaiTi" w:eastAsia="KaiTi" w:hAnsi="KaiTi" w:hint="eastAsia"/>
          <w:sz w:val="24"/>
          <w:szCs w:val="24"/>
        </w:rPr>
        <w:t>、2</w:t>
      </w:r>
      <w:r w:rsidRPr="008F2726">
        <w:rPr>
          <w:rFonts w:ascii="KaiTi" w:eastAsia="KaiTi" w:hAnsi="KaiTi"/>
          <w:sz w:val="24"/>
          <w:szCs w:val="24"/>
        </w:rPr>
        <w:t>25</w:t>
      </w:r>
      <w:r w:rsidRPr="008F2726">
        <w:rPr>
          <w:rFonts w:ascii="KaiTi" w:eastAsia="KaiTi" w:hAnsi="KaiTi" w:hint="eastAsia"/>
          <w:sz w:val="24"/>
          <w:szCs w:val="24"/>
        </w:rPr>
        <w:t>会议室，通过现场</w:t>
      </w:r>
      <w:proofErr w:type="gramStart"/>
      <w:r w:rsidRPr="008F2726">
        <w:rPr>
          <w:rFonts w:ascii="KaiTi" w:eastAsia="KaiTi" w:hAnsi="KaiTi" w:hint="eastAsia"/>
          <w:sz w:val="24"/>
          <w:szCs w:val="24"/>
        </w:rPr>
        <w:t>与腾讯会议</w:t>
      </w:r>
      <w:proofErr w:type="gramEnd"/>
      <w:r w:rsidRPr="008F2726">
        <w:rPr>
          <w:rFonts w:ascii="KaiTi" w:eastAsia="KaiTi" w:hAnsi="KaiTi" w:hint="eastAsia"/>
          <w:sz w:val="24"/>
          <w:szCs w:val="24"/>
        </w:rPr>
        <w:t>直播相结合的方式进行。中国人民大学马克思主义学院二级教授、博士生导师、教育部长</w:t>
      </w:r>
      <w:proofErr w:type="gramStart"/>
      <w:r w:rsidRPr="008F2726">
        <w:rPr>
          <w:rFonts w:ascii="KaiTi" w:eastAsia="KaiTi" w:hAnsi="KaiTi" w:hint="eastAsia"/>
          <w:sz w:val="24"/>
          <w:szCs w:val="24"/>
        </w:rPr>
        <w:t>江学者</w:t>
      </w:r>
      <w:proofErr w:type="gramEnd"/>
      <w:r w:rsidRPr="008F2726">
        <w:rPr>
          <w:rFonts w:ascii="KaiTi" w:eastAsia="KaiTi" w:hAnsi="KaiTi" w:hint="eastAsia"/>
          <w:sz w:val="24"/>
          <w:szCs w:val="24"/>
        </w:rPr>
        <w:t>特聘教授刘建军应邀主讲。本场讲座由马克思主义学院副院长许瑞芳主持。</w:t>
      </w:r>
    </w:p>
    <w:p w14:paraId="217AD9F9" w14:textId="77777777" w:rsidR="008F2726" w:rsidRDefault="008F2726" w:rsidP="008F2726">
      <w:pPr>
        <w:spacing w:line="360" w:lineRule="auto"/>
        <w:jc w:val="center"/>
        <w:rPr>
          <w:rFonts w:ascii="仿宋" w:eastAsia="仿宋" w:hAnsi="仿宋"/>
          <w:sz w:val="24"/>
          <w:szCs w:val="24"/>
        </w:rPr>
      </w:pPr>
      <w:r>
        <w:rPr>
          <w:rFonts w:ascii="仿宋" w:eastAsia="仿宋" w:hAnsi="仿宋"/>
          <w:noProof/>
          <w:sz w:val="24"/>
          <w:szCs w:val="24"/>
        </w:rPr>
        <w:drawing>
          <wp:inline distT="0" distB="0" distL="0" distR="0" wp14:anchorId="65467BC2" wp14:editId="5C06A6C7">
            <wp:extent cx="5245836" cy="2855873"/>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59862" cy="2863509"/>
                    </a:xfrm>
                    <a:prstGeom prst="rect">
                      <a:avLst/>
                    </a:prstGeom>
                  </pic:spPr>
                </pic:pic>
              </a:graphicData>
            </a:graphic>
          </wp:inline>
        </w:drawing>
      </w:r>
    </w:p>
    <w:p w14:paraId="0108EFF1" w14:textId="789D3C56" w:rsidR="008F2726" w:rsidRPr="008F2726" w:rsidRDefault="008F2726" w:rsidP="008F2726">
      <w:pPr>
        <w:spacing w:line="360" w:lineRule="auto"/>
        <w:ind w:firstLineChars="200" w:firstLine="420"/>
        <w:jc w:val="center"/>
        <w:rPr>
          <w:rFonts w:ascii="KaiTi" w:eastAsia="KaiTi" w:hAnsi="KaiTi"/>
          <w:szCs w:val="21"/>
        </w:rPr>
      </w:pPr>
      <w:r w:rsidRPr="008F2726">
        <w:rPr>
          <w:rFonts w:ascii="KaiTi" w:eastAsia="KaiTi" w:hAnsi="KaiTi" w:hint="eastAsia"/>
          <w:szCs w:val="21"/>
        </w:rPr>
        <w:t>学习现场</w:t>
      </w:r>
    </w:p>
    <w:p w14:paraId="4EE992CB" w14:textId="77777777" w:rsidR="008F2726" w:rsidRPr="008F2726" w:rsidRDefault="008F2726" w:rsidP="008F2726">
      <w:pPr>
        <w:spacing w:line="360" w:lineRule="auto"/>
        <w:ind w:firstLineChars="200" w:firstLine="480"/>
        <w:rPr>
          <w:rFonts w:ascii="KaiTi" w:eastAsia="KaiTi" w:hAnsi="KaiTi"/>
          <w:sz w:val="24"/>
          <w:szCs w:val="24"/>
        </w:rPr>
      </w:pPr>
      <w:r w:rsidRPr="008F2726">
        <w:rPr>
          <w:rFonts w:ascii="KaiTi" w:eastAsia="KaiTi" w:hAnsi="KaiTi" w:hint="eastAsia"/>
          <w:sz w:val="24"/>
          <w:szCs w:val="24"/>
        </w:rPr>
        <w:t>刘建军教授围绕“习近平新时代中国特色社会主义思想的基本立场、基本观点、基本方法、具体方法”四个方面进行解读，重点剖析其中蕴含的“十大基本方法”及“十三个具体方案”。</w:t>
      </w:r>
    </w:p>
    <w:p w14:paraId="71B14FF5" w14:textId="77777777" w:rsidR="008F2726" w:rsidRDefault="008F2726" w:rsidP="008F2726">
      <w:pPr>
        <w:spacing w:line="360" w:lineRule="auto"/>
        <w:jc w:val="center"/>
        <w:rPr>
          <w:rFonts w:ascii="仿宋" w:eastAsia="仿宋" w:hAnsi="仿宋"/>
          <w:sz w:val="24"/>
          <w:szCs w:val="24"/>
        </w:rPr>
      </w:pPr>
      <w:r>
        <w:rPr>
          <w:rFonts w:ascii="仿宋" w:eastAsia="仿宋" w:hAnsi="仿宋"/>
          <w:noProof/>
          <w:sz w:val="24"/>
          <w:szCs w:val="24"/>
        </w:rPr>
        <w:lastRenderedPageBreak/>
        <w:drawing>
          <wp:inline distT="0" distB="0" distL="0" distR="0" wp14:anchorId="06391051" wp14:editId="563395BE">
            <wp:extent cx="5391150" cy="2492170"/>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刘建军）.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1116" cy="2492155"/>
                    </a:xfrm>
                    <a:prstGeom prst="rect">
                      <a:avLst/>
                    </a:prstGeom>
                  </pic:spPr>
                </pic:pic>
              </a:graphicData>
            </a:graphic>
          </wp:inline>
        </w:drawing>
      </w:r>
    </w:p>
    <w:p w14:paraId="3A5569FB" w14:textId="4320ACF9" w:rsidR="008F2726" w:rsidRPr="008F2726" w:rsidRDefault="008F2726" w:rsidP="008F2726">
      <w:pPr>
        <w:spacing w:line="360" w:lineRule="auto"/>
        <w:ind w:firstLineChars="200" w:firstLine="420"/>
        <w:jc w:val="center"/>
        <w:rPr>
          <w:rFonts w:ascii="KaiTi" w:eastAsia="KaiTi" w:hAnsi="KaiTi"/>
          <w:szCs w:val="21"/>
        </w:rPr>
      </w:pPr>
      <w:r w:rsidRPr="008F2726">
        <w:rPr>
          <w:rFonts w:ascii="KaiTi" w:eastAsia="KaiTi" w:hAnsi="KaiTi" w:hint="eastAsia"/>
          <w:szCs w:val="21"/>
        </w:rPr>
        <w:t>刘建军教授主讲</w:t>
      </w:r>
    </w:p>
    <w:p w14:paraId="79CFA54F" w14:textId="77777777" w:rsidR="008F2726" w:rsidRPr="008F2726" w:rsidRDefault="008F2726" w:rsidP="008F2726">
      <w:pPr>
        <w:spacing w:line="360" w:lineRule="auto"/>
        <w:ind w:firstLineChars="200" w:firstLine="480"/>
        <w:rPr>
          <w:rFonts w:ascii="KaiTi" w:eastAsia="KaiTi" w:hAnsi="KaiTi"/>
          <w:sz w:val="24"/>
          <w:szCs w:val="24"/>
        </w:rPr>
      </w:pPr>
      <w:r w:rsidRPr="008F2726">
        <w:rPr>
          <w:rFonts w:ascii="KaiTi" w:eastAsia="KaiTi" w:hAnsi="KaiTi" w:hint="eastAsia"/>
          <w:sz w:val="24"/>
          <w:szCs w:val="24"/>
        </w:rPr>
        <w:t>他表示，基本方法包括：坚持实事求是、坚持顶层设计、坚持战略定力、坚持问题导向、坚持调查研究、坚持全面协调、坚持底线思维、坚持创新引领、坚持抓铁有痕、坚持历史担当。并以“坚持调查研究”“坚持底线思维”方法为例进行重点阐释。在谈至坚持调查研究这一方法时，刘建军引用习总书记的话进一步阐述：</w:t>
      </w:r>
      <w:r w:rsidRPr="008F2726">
        <w:rPr>
          <w:rFonts w:ascii="KaiTi" w:eastAsia="KaiTi" w:hAnsi="KaiTi"/>
          <w:sz w:val="24"/>
          <w:szCs w:val="24"/>
        </w:rPr>
        <w:t>“</w:t>
      </w:r>
      <w:r w:rsidRPr="008F2726">
        <w:rPr>
          <w:rFonts w:ascii="KaiTi" w:eastAsia="KaiTi" w:hAnsi="KaiTi" w:hint="eastAsia"/>
          <w:sz w:val="24"/>
          <w:szCs w:val="24"/>
        </w:rPr>
        <w:t>调查研究是谋事之基、成事之道。没有调查，就没有发言权，更没有决策权。</w:t>
      </w:r>
      <w:r w:rsidRPr="008F2726">
        <w:rPr>
          <w:rFonts w:ascii="KaiTi" w:eastAsia="KaiTi" w:hAnsi="KaiTi"/>
          <w:sz w:val="24"/>
          <w:szCs w:val="24"/>
        </w:rPr>
        <w:t>”</w:t>
      </w:r>
      <w:r w:rsidRPr="008F2726">
        <w:rPr>
          <w:rFonts w:ascii="KaiTi" w:eastAsia="KaiTi" w:hAnsi="KaiTi" w:hint="eastAsia"/>
          <w:sz w:val="24"/>
          <w:szCs w:val="24"/>
        </w:rPr>
        <w:t>此外，坚持底线思维也是总书记不断强调的。所谓底线思维，即是一种积极的思维方式，做最坏的准备，争取最好的结果。坚持底线思维，从根本上说是防范和化解风险的需要。我们需清醒地把握这一点，牢牢守住底线。</w:t>
      </w:r>
    </w:p>
    <w:p w14:paraId="2E05D3D1" w14:textId="77777777" w:rsidR="008F2726" w:rsidRPr="008F2726" w:rsidRDefault="008F2726" w:rsidP="008F2726">
      <w:pPr>
        <w:spacing w:line="360" w:lineRule="auto"/>
        <w:ind w:firstLineChars="200" w:firstLine="480"/>
        <w:rPr>
          <w:rFonts w:ascii="KaiTi" w:eastAsia="KaiTi" w:hAnsi="KaiTi"/>
          <w:sz w:val="24"/>
          <w:szCs w:val="24"/>
        </w:rPr>
      </w:pPr>
      <w:r w:rsidRPr="008F2726">
        <w:rPr>
          <w:rFonts w:ascii="KaiTi" w:eastAsia="KaiTi" w:hAnsi="KaiTi" w:hint="eastAsia"/>
          <w:sz w:val="24"/>
          <w:szCs w:val="24"/>
        </w:rPr>
        <w:t>关于具体方法，刘建军认为是：学会</w:t>
      </w:r>
      <w:r w:rsidRPr="008F2726">
        <w:rPr>
          <w:rFonts w:ascii="KaiTi" w:eastAsia="KaiTi" w:hAnsi="KaiTi"/>
          <w:sz w:val="24"/>
          <w:szCs w:val="24"/>
        </w:rPr>
        <w:t>“</w:t>
      </w:r>
      <w:r w:rsidRPr="008F2726">
        <w:rPr>
          <w:rFonts w:ascii="KaiTi" w:eastAsia="KaiTi" w:hAnsi="KaiTi" w:hint="eastAsia"/>
          <w:sz w:val="24"/>
          <w:szCs w:val="24"/>
        </w:rPr>
        <w:t>算大帐</w:t>
      </w:r>
      <w:r w:rsidRPr="008F2726">
        <w:rPr>
          <w:rFonts w:ascii="KaiTi" w:eastAsia="KaiTi" w:hAnsi="KaiTi"/>
          <w:sz w:val="24"/>
          <w:szCs w:val="24"/>
        </w:rPr>
        <w:t>”</w:t>
      </w:r>
      <w:r w:rsidRPr="008F2726">
        <w:rPr>
          <w:rFonts w:ascii="KaiTi" w:eastAsia="KaiTi" w:hAnsi="KaiTi" w:hint="eastAsia"/>
          <w:sz w:val="24"/>
          <w:szCs w:val="24"/>
        </w:rPr>
        <w:t>；确定</w:t>
      </w:r>
      <w:r w:rsidRPr="008F2726">
        <w:rPr>
          <w:rFonts w:ascii="KaiTi" w:eastAsia="KaiTi" w:hAnsi="KaiTi"/>
          <w:sz w:val="24"/>
          <w:szCs w:val="24"/>
        </w:rPr>
        <w:t>“</w:t>
      </w:r>
      <w:r w:rsidRPr="008F2726">
        <w:rPr>
          <w:rFonts w:ascii="KaiTi" w:eastAsia="KaiTi" w:hAnsi="KaiTi" w:hint="eastAsia"/>
          <w:sz w:val="24"/>
          <w:szCs w:val="24"/>
        </w:rPr>
        <w:t>总抓手</w:t>
      </w:r>
      <w:r w:rsidRPr="008F2726">
        <w:rPr>
          <w:rFonts w:ascii="KaiTi" w:eastAsia="KaiTi" w:hAnsi="KaiTi"/>
          <w:sz w:val="24"/>
          <w:szCs w:val="24"/>
        </w:rPr>
        <w:t>”</w:t>
      </w:r>
      <w:r w:rsidRPr="008F2726">
        <w:rPr>
          <w:rFonts w:ascii="KaiTi" w:eastAsia="KaiTi" w:hAnsi="KaiTi" w:hint="eastAsia"/>
          <w:sz w:val="24"/>
          <w:szCs w:val="24"/>
        </w:rPr>
        <w:t>；找到</w:t>
      </w:r>
      <w:r w:rsidRPr="008F2726">
        <w:rPr>
          <w:rFonts w:ascii="KaiTi" w:eastAsia="KaiTi" w:hAnsi="KaiTi"/>
          <w:sz w:val="24"/>
          <w:szCs w:val="24"/>
        </w:rPr>
        <w:t>“</w:t>
      </w:r>
      <w:r w:rsidRPr="008F2726">
        <w:rPr>
          <w:rFonts w:ascii="KaiTi" w:eastAsia="KaiTi" w:hAnsi="KaiTi" w:hint="eastAsia"/>
          <w:sz w:val="24"/>
          <w:szCs w:val="24"/>
        </w:rPr>
        <w:t>切入口</w:t>
      </w:r>
      <w:r w:rsidRPr="008F2726">
        <w:rPr>
          <w:rFonts w:ascii="KaiTi" w:eastAsia="KaiTi" w:hAnsi="KaiTi"/>
          <w:sz w:val="24"/>
          <w:szCs w:val="24"/>
        </w:rPr>
        <w:t>”</w:t>
      </w:r>
      <w:r w:rsidRPr="008F2726">
        <w:rPr>
          <w:rFonts w:ascii="KaiTi" w:eastAsia="KaiTi" w:hAnsi="KaiTi" w:hint="eastAsia"/>
          <w:sz w:val="24"/>
          <w:szCs w:val="24"/>
        </w:rPr>
        <w:t>；牵住</w:t>
      </w:r>
      <w:r w:rsidRPr="008F2726">
        <w:rPr>
          <w:rFonts w:ascii="KaiTi" w:eastAsia="KaiTi" w:hAnsi="KaiTi"/>
          <w:sz w:val="24"/>
          <w:szCs w:val="24"/>
        </w:rPr>
        <w:t>“</w:t>
      </w:r>
      <w:r w:rsidRPr="008F2726">
        <w:rPr>
          <w:rFonts w:ascii="KaiTi" w:eastAsia="KaiTi" w:hAnsi="KaiTi" w:hint="eastAsia"/>
          <w:sz w:val="24"/>
          <w:szCs w:val="24"/>
        </w:rPr>
        <w:t>牛鼻子</w:t>
      </w:r>
      <w:r w:rsidRPr="008F2726">
        <w:rPr>
          <w:rFonts w:ascii="KaiTi" w:eastAsia="KaiTi" w:hAnsi="KaiTi"/>
          <w:sz w:val="24"/>
          <w:szCs w:val="24"/>
        </w:rPr>
        <w:t>”</w:t>
      </w:r>
      <w:r w:rsidRPr="008F2726">
        <w:rPr>
          <w:rFonts w:ascii="KaiTi" w:eastAsia="KaiTi" w:hAnsi="KaiTi" w:hint="eastAsia"/>
          <w:sz w:val="24"/>
          <w:szCs w:val="24"/>
        </w:rPr>
        <w:t>；学会</w:t>
      </w:r>
      <w:r w:rsidRPr="008F2726">
        <w:rPr>
          <w:rFonts w:ascii="KaiTi" w:eastAsia="KaiTi" w:hAnsi="KaiTi"/>
          <w:sz w:val="24"/>
          <w:szCs w:val="24"/>
        </w:rPr>
        <w:t>“</w:t>
      </w:r>
      <w:r w:rsidRPr="008F2726">
        <w:rPr>
          <w:rFonts w:ascii="KaiTi" w:eastAsia="KaiTi" w:hAnsi="KaiTi" w:hint="eastAsia"/>
          <w:sz w:val="24"/>
          <w:szCs w:val="24"/>
        </w:rPr>
        <w:t>弹钢琴</w:t>
      </w:r>
      <w:r w:rsidRPr="008F2726">
        <w:rPr>
          <w:rFonts w:ascii="KaiTi" w:eastAsia="KaiTi" w:hAnsi="KaiTi"/>
          <w:sz w:val="24"/>
          <w:szCs w:val="24"/>
        </w:rPr>
        <w:t>”</w:t>
      </w:r>
      <w:r w:rsidRPr="008F2726">
        <w:rPr>
          <w:rFonts w:ascii="KaiTi" w:eastAsia="KaiTi" w:hAnsi="KaiTi" w:hint="eastAsia"/>
          <w:sz w:val="24"/>
          <w:szCs w:val="24"/>
        </w:rPr>
        <w:t>；善于“转盘子”；坚持“钉钉子”；利用“窗口期”；寻找“平衡点”；及时“补短板”；划出“警戒线”；放大“同心圆”；打通“最后一公里”。以“切入口”方法为例，刘建军教授将其融入到讲座中。首先他以习近平总书记关于中央八项规定的讲话为“切入口”，进而说明其对于改进工作作风、全面从严治党以及四个全面战略布局的意义。令人印象深刻！</w:t>
      </w:r>
    </w:p>
    <w:p w14:paraId="309BC62E" w14:textId="77777777" w:rsidR="008F2726" w:rsidRPr="008F2726" w:rsidRDefault="008F2726" w:rsidP="008F2726">
      <w:pPr>
        <w:spacing w:line="360" w:lineRule="auto"/>
        <w:ind w:firstLineChars="200" w:firstLine="480"/>
        <w:rPr>
          <w:rFonts w:ascii="KaiTi" w:eastAsia="KaiTi" w:hAnsi="KaiTi"/>
          <w:sz w:val="24"/>
          <w:szCs w:val="24"/>
        </w:rPr>
      </w:pPr>
      <w:r w:rsidRPr="008F2726">
        <w:rPr>
          <w:rFonts w:ascii="KaiTi" w:eastAsia="KaiTi" w:hAnsi="KaiTi" w:hint="eastAsia"/>
          <w:sz w:val="24"/>
          <w:szCs w:val="24"/>
        </w:rPr>
        <w:t>来自华东师范大学以及其他高校及研究机构相关专业的500余名师生在线观看讲座，并通过交流提问环节进一步丰富了讲座的互动性。</w:t>
      </w:r>
    </w:p>
    <w:p w14:paraId="630E909A" w14:textId="77777777" w:rsidR="008F2726" w:rsidRDefault="008F2726" w:rsidP="008F2726">
      <w:pPr>
        <w:spacing w:line="360" w:lineRule="auto"/>
        <w:ind w:firstLineChars="200" w:firstLine="480"/>
        <w:jc w:val="center"/>
        <w:rPr>
          <w:rFonts w:ascii="仿宋" w:eastAsia="仿宋" w:hAnsi="仿宋"/>
          <w:sz w:val="24"/>
          <w:szCs w:val="24"/>
        </w:rPr>
      </w:pPr>
      <w:r>
        <w:rPr>
          <w:rFonts w:ascii="仿宋" w:eastAsia="仿宋" w:hAnsi="仿宋"/>
          <w:noProof/>
          <w:sz w:val="24"/>
          <w:szCs w:val="24"/>
        </w:rPr>
        <w:lastRenderedPageBreak/>
        <w:drawing>
          <wp:inline distT="0" distB="0" distL="0" distR="0" wp14:anchorId="14047B35" wp14:editId="0AF76A49">
            <wp:extent cx="5008880" cy="3339080"/>
            <wp:effectExtent l="0" t="0" r="127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09357" cy="3339398"/>
                    </a:xfrm>
                    <a:prstGeom prst="rect">
                      <a:avLst/>
                    </a:prstGeom>
                  </pic:spPr>
                </pic:pic>
              </a:graphicData>
            </a:graphic>
          </wp:inline>
        </w:drawing>
      </w:r>
    </w:p>
    <w:p w14:paraId="40CE3F22" w14:textId="57989E81" w:rsidR="008F2726" w:rsidRPr="008F2726" w:rsidRDefault="008F2726" w:rsidP="008F2726">
      <w:pPr>
        <w:spacing w:line="360" w:lineRule="auto"/>
        <w:ind w:firstLineChars="200" w:firstLine="420"/>
        <w:jc w:val="center"/>
        <w:rPr>
          <w:rFonts w:ascii="KaiTi" w:eastAsia="KaiTi" w:hAnsi="KaiTi"/>
          <w:szCs w:val="21"/>
        </w:rPr>
      </w:pPr>
      <w:r w:rsidRPr="008F2726">
        <w:rPr>
          <w:rFonts w:ascii="KaiTi" w:eastAsia="KaiTi" w:hAnsi="KaiTi" w:hint="eastAsia"/>
          <w:szCs w:val="21"/>
        </w:rPr>
        <w:t>讲座互动交流</w:t>
      </w:r>
    </w:p>
    <w:p w14:paraId="4358D75D" w14:textId="77777777" w:rsidR="008F2726" w:rsidRPr="008F2726" w:rsidRDefault="008F2726" w:rsidP="008F2726">
      <w:pPr>
        <w:spacing w:line="360" w:lineRule="auto"/>
        <w:ind w:firstLineChars="200" w:firstLine="480"/>
        <w:rPr>
          <w:rFonts w:ascii="KaiTi" w:eastAsia="KaiTi" w:hAnsi="KaiTi"/>
          <w:sz w:val="24"/>
          <w:szCs w:val="24"/>
        </w:rPr>
      </w:pPr>
      <w:r w:rsidRPr="008F2726">
        <w:rPr>
          <w:rFonts w:ascii="KaiTi" w:eastAsia="KaiTi" w:hAnsi="KaiTi" w:hint="eastAsia"/>
          <w:sz w:val="24"/>
          <w:szCs w:val="24"/>
        </w:rPr>
        <w:t>华东师大70周年校庆在即，中共中央办公厅印发了《关于加强新时代马克思主义学院建设的意见》。本次讲座增强了我院师生对习近平新时代中国特色社会主义思想学习与研究的兴趣，进一步从方法论方面指导师生从习近平新时代中国特色社会主义思想中汲取生活、学习、工作的智慧和力量。</w:t>
      </w:r>
    </w:p>
    <w:p w14:paraId="424AE6B9" w14:textId="77777777" w:rsidR="008F2726" w:rsidRDefault="008F2726" w:rsidP="008F2726">
      <w:pPr>
        <w:spacing w:line="360" w:lineRule="auto"/>
        <w:ind w:firstLineChars="200" w:firstLine="480"/>
        <w:jc w:val="center"/>
        <w:rPr>
          <w:rFonts w:ascii="仿宋" w:eastAsia="仿宋" w:hAnsi="仿宋"/>
          <w:sz w:val="24"/>
          <w:szCs w:val="24"/>
        </w:rPr>
      </w:pPr>
      <w:r>
        <w:rPr>
          <w:rFonts w:ascii="仿宋" w:eastAsia="仿宋" w:hAnsi="仿宋"/>
          <w:noProof/>
          <w:sz w:val="24"/>
          <w:szCs w:val="24"/>
        </w:rPr>
        <w:drawing>
          <wp:inline distT="0" distB="0" distL="0" distR="0" wp14:anchorId="50B537AD" wp14:editId="37F3118F">
            <wp:extent cx="5166338" cy="2869949"/>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4792" cy="2880200"/>
                    </a:xfrm>
                    <a:prstGeom prst="rect">
                      <a:avLst/>
                    </a:prstGeom>
                  </pic:spPr>
                </pic:pic>
              </a:graphicData>
            </a:graphic>
          </wp:inline>
        </w:drawing>
      </w:r>
    </w:p>
    <w:p w14:paraId="7F0CE3A7" w14:textId="21F81C60" w:rsidR="008F2726" w:rsidRPr="001639B4" w:rsidRDefault="008F2726" w:rsidP="001639B4">
      <w:pPr>
        <w:spacing w:line="360" w:lineRule="auto"/>
        <w:ind w:firstLineChars="200" w:firstLine="420"/>
        <w:jc w:val="center"/>
        <w:rPr>
          <w:rFonts w:ascii="KaiTi" w:eastAsia="KaiTi" w:hAnsi="KaiTi"/>
          <w:szCs w:val="21"/>
        </w:rPr>
      </w:pPr>
      <w:r w:rsidRPr="008F2726">
        <w:rPr>
          <w:rFonts w:ascii="KaiTi" w:eastAsia="KaiTi" w:hAnsi="KaiTi" w:hint="eastAsia"/>
          <w:szCs w:val="21"/>
        </w:rPr>
        <w:t>现场一览</w:t>
      </w:r>
    </w:p>
    <w:p w14:paraId="2C866E96" w14:textId="77777777" w:rsidR="008F2726" w:rsidRDefault="008F2726" w:rsidP="008F2726">
      <w:pPr>
        <w:spacing w:line="360" w:lineRule="auto"/>
        <w:ind w:firstLineChars="200" w:firstLine="480"/>
        <w:jc w:val="right"/>
        <w:rPr>
          <w:rFonts w:ascii="仿宋" w:eastAsia="仿宋" w:hAnsi="仿宋"/>
          <w:sz w:val="24"/>
          <w:szCs w:val="24"/>
        </w:rPr>
      </w:pPr>
      <w:r>
        <w:rPr>
          <w:rFonts w:ascii="仿宋" w:eastAsia="仿宋" w:hAnsi="仿宋" w:hint="eastAsia"/>
          <w:sz w:val="24"/>
          <w:szCs w:val="24"/>
        </w:rPr>
        <w:t>文稿：陈曦</w:t>
      </w:r>
    </w:p>
    <w:p w14:paraId="4767697B" w14:textId="6CE8E87E" w:rsidR="008F2726" w:rsidRPr="00301B8E" w:rsidRDefault="001639B4" w:rsidP="001639B4">
      <w:pPr>
        <w:wordWrap w:val="0"/>
        <w:spacing w:line="360" w:lineRule="auto"/>
        <w:ind w:firstLineChars="200" w:firstLine="480"/>
        <w:jc w:val="right"/>
        <w:rPr>
          <w:rFonts w:ascii="仿宋" w:eastAsia="仿宋" w:hAnsi="仿宋"/>
          <w:sz w:val="24"/>
          <w:szCs w:val="24"/>
        </w:rPr>
      </w:pPr>
      <w:r>
        <w:rPr>
          <w:rFonts w:ascii="仿宋" w:eastAsia="仿宋" w:hAnsi="仿宋" w:hint="eastAsia"/>
          <w:sz w:val="24"/>
          <w:szCs w:val="24"/>
        </w:rPr>
        <w:t xml:space="preserve"> </w:t>
      </w:r>
      <w:r w:rsidR="008F2726">
        <w:rPr>
          <w:rFonts w:ascii="仿宋" w:eastAsia="仿宋" w:hAnsi="仿宋" w:hint="eastAsia"/>
          <w:sz w:val="24"/>
          <w:szCs w:val="24"/>
        </w:rPr>
        <w:t>摄影：宋</w:t>
      </w:r>
      <w:proofErr w:type="gramStart"/>
      <w:r w:rsidR="008F2726">
        <w:rPr>
          <w:rFonts w:ascii="仿宋" w:eastAsia="仿宋" w:hAnsi="仿宋" w:hint="eastAsia"/>
          <w:sz w:val="24"/>
          <w:szCs w:val="24"/>
        </w:rPr>
        <w:t>一</w:t>
      </w:r>
      <w:proofErr w:type="gramEnd"/>
      <w:r w:rsidR="008F2726">
        <w:rPr>
          <w:rFonts w:ascii="仿宋" w:eastAsia="仿宋" w:hAnsi="仿宋" w:hint="eastAsia"/>
          <w:sz w:val="24"/>
          <w:szCs w:val="24"/>
        </w:rPr>
        <w:t xml:space="preserve">凡 </w:t>
      </w:r>
      <w:proofErr w:type="gramStart"/>
      <w:r w:rsidR="008F2726">
        <w:rPr>
          <w:rFonts w:ascii="仿宋" w:eastAsia="仿宋" w:hAnsi="仿宋" w:hint="eastAsia"/>
          <w:sz w:val="24"/>
          <w:szCs w:val="24"/>
        </w:rPr>
        <w:t>魏孔</w:t>
      </w:r>
      <w:proofErr w:type="gramEnd"/>
      <w:r w:rsidR="008F2726">
        <w:rPr>
          <w:rFonts w:ascii="仿宋" w:eastAsia="仿宋" w:hAnsi="仿宋" w:hint="eastAsia"/>
          <w:sz w:val="24"/>
          <w:szCs w:val="24"/>
        </w:rPr>
        <w:t>三</w:t>
      </w:r>
    </w:p>
    <w:sectPr w:rsidR="008F2726" w:rsidRPr="00301B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KaiTi">
    <w:altName w:val="KaiTi"/>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202E7"/>
    <w:multiLevelType w:val="hybridMultilevel"/>
    <w:tmpl w:val="D3667746"/>
    <w:lvl w:ilvl="0" w:tplc="B77474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073AA4"/>
    <w:multiLevelType w:val="hybridMultilevel"/>
    <w:tmpl w:val="776872D2"/>
    <w:lvl w:ilvl="0" w:tplc="B80AFB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0B478D4"/>
    <w:multiLevelType w:val="hybridMultilevel"/>
    <w:tmpl w:val="A0100C1E"/>
    <w:lvl w:ilvl="0" w:tplc="2D2654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78"/>
    <w:rsid w:val="000479E9"/>
    <w:rsid w:val="001639B4"/>
    <w:rsid w:val="001C06D5"/>
    <w:rsid w:val="001E4CAD"/>
    <w:rsid w:val="00325D15"/>
    <w:rsid w:val="00342AE9"/>
    <w:rsid w:val="003F5FA6"/>
    <w:rsid w:val="00493A78"/>
    <w:rsid w:val="005841E7"/>
    <w:rsid w:val="00630CD4"/>
    <w:rsid w:val="00687A99"/>
    <w:rsid w:val="007126B8"/>
    <w:rsid w:val="008F2726"/>
    <w:rsid w:val="008F2D73"/>
    <w:rsid w:val="00902092"/>
    <w:rsid w:val="009D1B91"/>
    <w:rsid w:val="00AC1C57"/>
    <w:rsid w:val="00B6136B"/>
    <w:rsid w:val="00DA49CC"/>
    <w:rsid w:val="00F63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1142"/>
  <w15:chartTrackingRefBased/>
  <w15:docId w15:val="{1BD2A0D5-AF65-4F20-BDC2-DB6CC991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D7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35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C7B9F-42F0-45F8-9542-060A203C0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zzx</dc:creator>
  <cp:keywords/>
  <dc:description/>
  <cp:lastModifiedBy>zzx</cp:lastModifiedBy>
  <cp:revision>2</cp:revision>
  <dcterms:created xsi:type="dcterms:W3CDTF">2021-09-27T02:49:00Z</dcterms:created>
  <dcterms:modified xsi:type="dcterms:W3CDTF">2021-09-27T02:49:00Z</dcterms:modified>
</cp:coreProperties>
</file>